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4"/>
        </w:rPr>
      </w:pPr>
    </w:p>
    <w:p>
      <w:pPr>
        <w:spacing w:beforeLines="0" w:afterLines="0" w:line="360" w:lineRule="auto"/>
        <w:jc w:val="left"/>
        <w:rPr>
          <w:rFonts w:hint="default" w:ascii="Times New Roman" w:hAnsi="Times New Roman" w:eastAsia="Times New Roman"/>
          <w:color w:val="000000"/>
          <w:sz w:val="23"/>
        </w:rPr>
      </w:pPr>
      <w:r>
        <w:rPr>
          <w:rFonts w:hint="default" w:ascii="Times New Roman" w:hAnsi="Times New Roman" w:eastAsia="Times New Roman"/>
          <w:color w:val="000000"/>
          <w:sz w:val="23"/>
        </w:rPr>
        <w:t xml:space="preserve">VIDA ÚTIL DE BARRAS ALIMENTÍCIAS ELABORADAS COM POLPA E AMÊNDOA DOS </w:t>
      </w:r>
      <w:bookmarkStart w:id="0" w:name="_GoBack"/>
      <w:bookmarkEnd w:id="0"/>
      <w:r>
        <w:rPr>
          <w:rFonts w:hint="default" w:ascii="Times New Roman" w:hAnsi="Times New Roman" w:eastAsia="Times New Roman"/>
          <w:color w:val="000000"/>
          <w:sz w:val="23"/>
        </w:rPr>
        <w:t>FRUTOS DA BOCAIUVA (Acrocomia aculeata (Jacq.) Lodd)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Times New Roman"/>
          <w:color w:val="000000"/>
          <w:sz w:val="23"/>
        </w:rPr>
      </w:pPr>
    </w:p>
    <w:p>
      <w:pPr>
        <w:spacing w:beforeLines="0" w:afterLines="0" w:line="360" w:lineRule="auto"/>
        <w:jc w:val="left"/>
        <w:rPr>
          <w:rFonts w:hint="default" w:ascii="Times New Roman" w:hAnsi="Times New Roman" w:eastAsia="Times New Roman"/>
          <w:color w:val="000000"/>
          <w:sz w:val="23"/>
        </w:rPr>
      </w:pPr>
      <w:r>
        <w:rPr>
          <w:rFonts w:hint="default" w:ascii="Times New Roman" w:hAnsi="Times New Roman" w:eastAsia="Times New Roman"/>
          <w:color w:val="000000"/>
          <w:sz w:val="23"/>
          <w:u w:val="single"/>
        </w:rPr>
        <w:t>Renata Ribeiro Campagnoli</w:t>
      </w:r>
      <w:r>
        <w:rPr>
          <w:rFonts w:hint="default" w:ascii="Times New Roman" w:hAnsi="Times New Roman" w:eastAsia="Times New Roman"/>
          <w:color w:val="000000"/>
          <w:sz w:val="23"/>
          <w:u w:val="single"/>
          <w:vertAlign w:val="superscript"/>
          <w:lang w:val="pt-BR"/>
        </w:rPr>
        <w:t>1</w:t>
      </w:r>
      <w:r>
        <w:rPr>
          <w:rFonts w:hint="default" w:ascii="Times New Roman" w:hAnsi="Times New Roman" w:eastAsia="Times New Roman"/>
          <w:color w:val="000000"/>
          <w:sz w:val="23"/>
        </w:rPr>
        <w:t>; Luan Ramos da Silva</w:t>
      </w:r>
      <w:r>
        <w:rPr>
          <w:rFonts w:hint="default" w:ascii="Times New Roman" w:hAnsi="Times New Roman" w:eastAsia="Times New Roman"/>
          <w:color w:val="000000"/>
          <w:sz w:val="23"/>
          <w:vertAlign w:val="superscript"/>
          <w:lang w:val="pt-BR"/>
        </w:rPr>
        <w:t>1</w:t>
      </w:r>
      <w:r>
        <w:rPr>
          <w:rFonts w:hint="default" w:ascii="Times New Roman" w:hAnsi="Times New Roman" w:eastAsia="Times New Roman"/>
          <w:color w:val="000000"/>
          <w:sz w:val="23"/>
        </w:rPr>
        <w:t>; Caroline Alves Breda</w:t>
      </w:r>
      <w:r>
        <w:rPr>
          <w:rFonts w:hint="default" w:ascii="Times New Roman" w:hAnsi="Times New Roman" w:eastAsia="Times New Roman"/>
          <w:color w:val="000000"/>
          <w:sz w:val="23"/>
          <w:vertAlign w:val="superscript"/>
          <w:lang w:val="pt-BR"/>
        </w:rPr>
        <w:t>2</w:t>
      </w:r>
      <w:r>
        <w:rPr>
          <w:rFonts w:hint="default" w:ascii="Times New Roman" w:hAnsi="Times New Roman" w:eastAsia="Times New Roman"/>
          <w:color w:val="000000"/>
          <w:sz w:val="23"/>
        </w:rPr>
        <w:t xml:space="preserve">; Eliana Janet 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Times New Roman"/>
          <w:color w:val="000000"/>
          <w:sz w:val="16"/>
        </w:rPr>
      </w:pPr>
      <w:r>
        <w:rPr>
          <w:rFonts w:hint="default" w:ascii="Times New Roman" w:hAnsi="Times New Roman" w:eastAsia="Times New Roman"/>
          <w:color w:val="000000"/>
          <w:sz w:val="23"/>
        </w:rPr>
        <w:t>Sanjinez-Argandoña</w:t>
      </w:r>
      <w:r>
        <w:rPr>
          <w:rFonts w:hint="default" w:ascii="Times New Roman" w:hAnsi="Times New Roman" w:eastAsia="Times New Roman"/>
          <w:color w:val="000000"/>
          <w:sz w:val="23"/>
          <w:vertAlign w:val="superscript"/>
          <w:lang w:val="pt-BR"/>
        </w:rPr>
        <w:t>1</w:t>
      </w:r>
      <w:r>
        <w:rPr>
          <w:rFonts w:hint="default" w:ascii="Times New Roman" w:hAnsi="Times New Roman" w:eastAsia="Times New Roman"/>
          <w:color w:val="000000"/>
          <w:sz w:val="16"/>
        </w:rPr>
        <w:t xml:space="preserve"> 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Times New Roman"/>
          <w:color w:val="000000"/>
          <w:sz w:val="16"/>
        </w:rPr>
      </w:pPr>
    </w:p>
    <w:p>
      <w:pPr>
        <w:spacing w:beforeLines="0" w:afterLines="0" w:line="360" w:lineRule="auto"/>
        <w:jc w:val="left"/>
        <w:rPr>
          <w:rFonts w:hint="default" w:ascii="Times New Roman" w:hAnsi="Times New Roman" w:eastAsia="Times New Roman"/>
          <w:color w:val="000000"/>
          <w:sz w:val="20"/>
        </w:rPr>
      </w:pPr>
      <w:r>
        <w:rPr>
          <w:rFonts w:hint="default" w:ascii="Times New Roman" w:hAnsi="Times New Roman" w:eastAsia="Times New Roman"/>
          <w:color w:val="000000"/>
          <w:sz w:val="20"/>
          <w:vertAlign w:val="superscript"/>
          <w:lang w:val="pt-BR"/>
        </w:rPr>
        <w:t>1</w:t>
      </w:r>
      <w:r>
        <w:rPr>
          <w:rFonts w:hint="default" w:ascii="Times New Roman" w:hAnsi="Times New Roman" w:eastAsia="Times New Roman"/>
          <w:color w:val="000000"/>
          <w:sz w:val="20"/>
        </w:rPr>
        <w:t xml:space="preserve">Universidade Federal da Grande Dourados, Faculdade de Engenharia; </w:t>
      </w:r>
      <w:r>
        <w:rPr>
          <w:rFonts w:hint="default" w:ascii="Times New Roman" w:hAnsi="Times New Roman" w:eastAsia="Times New Roman"/>
          <w:color w:val="000000"/>
          <w:sz w:val="20"/>
          <w:vertAlign w:val="superscript"/>
          <w:lang w:val="pt-BR"/>
        </w:rPr>
        <w:t>2</w:t>
      </w:r>
      <w:r>
        <w:rPr>
          <w:rFonts w:hint="default" w:ascii="Times New Roman" w:hAnsi="Times New Roman" w:eastAsia="Times New Roman"/>
          <w:color w:val="000000"/>
          <w:sz w:val="20"/>
        </w:rPr>
        <w:t xml:space="preserve">Universidade Estadual de Campinas, Faculdade de Engenharia de Alimentos, Departamento de Ciência de Alimentos. 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Times New Roman"/>
          <w:color w:val="000000"/>
          <w:sz w:val="23"/>
        </w:rPr>
      </w:pPr>
      <w:r>
        <w:rPr>
          <w:rFonts w:hint="default" w:ascii="Times New Roman" w:hAnsi="Times New Roman" w:eastAsia="Times New Roman"/>
          <w:color w:val="000000"/>
          <w:sz w:val="20"/>
        </w:rPr>
        <w:t xml:space="preserve">E-mail: reagape@hotmail.com 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Times New Roman"/>
          <w:color w:val="000000"/>
          <w:sz w:val="23"/>
        </w:rPr>
      </w:pPr>
    </w:p>
    <w:p>
      <w:pPr>
        <w:spacing w:beforeLines="0" w:afterLines="0" w:line="360" w:lineRule="auto"/>
        <w:jc w:val="left"/>
        <w:rPr>
          <w:rFonts w:hint="default" w:ascii="Times New Roman" w:hAnsi="Times New Roman" w:eastAsia="Times New Roman"/>
          <w:color w:val="000000"/>
          <w:sz w:val="23"/>
        </w:rPr>
      </w:pPr>
      <w:r>
        <w:rPr>
          <w:rFonts w:hint="default" w:ascii="Times New Roman" w:hAnsi="Times New Roman" w:eastAsia="Times New Roman"/>
          <w:color w:val="000000"/>
          <w:sz w:val="23"/>
        </w:rPr>
        <w:t xml:space="preserve">Palavras-chave: Estabilidade, barras de cereais, frutos do cerrado. 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Times New Roman"/>
          <w:color w:val="000000"/>
          <w:sz w:val="23"/>
        </w:rPr>
      </w:pPr>
    </w:p>
    <w:p>
      <w:pPr>
        <w:spacing w:beforeLines="0" w:afterLines="0" w:line="360" w:lineRule="auto"/>
        <w:jc w:val="both"/>
        <w:rPr>
          <w:rFonts w:hint="default" w:ascii="Times New Roman" w:hAnsi="Times New Roman" w:eastAsia="Times New Roman"/>
          <w:color w:val="000000"/>
          <w:sz w:val="23"/>
        </w:rPr>
      </w:pPr>
      <w:r>
        <w:rPr>
          <w:rFonts w:hint="default" w:ascii="Times New Roman" w:hAnsi="Times New Roman" w:eastAsia="Times New Roman"/>
          <w:color w:val="000000"/>
          <w:sz w:val="23"/>
        </w:rPr>
        <w:t xml:space="preserve">O fruto da Acrocomia aculeata (Jacq.) Lodd possui polpa e amêndoa saborosa e nutritiva, o que possibilita seu uso em diversos produtos alimentícios. As barras alimentícias são produtos com crescente demanda mercadológica e possibilitam a inserção de novos ingredientes sem descaracterizar o produto final, entretanto, estudos de composição nutricional e vida útil são importantes. O objetivo do trabalho foi estudar a vida útil de barras de alimentícias elaboradas com adição da polpa e da amêndoa dos frutos da bocaiuva empregando-se metodologia de teste acelerado. As barras alimentícias foram formuladas de acordo com um planejamento experimental. A vida útil do produto foi definida pelo estudo do acondicionamento em embalagens poliméricas de Polipropileno (PPE) e do armazenamento a 25°C e 35°C em condições de umidade relativa do ar (UR) de 75% e de 90%, pelo período de 135 dias. Foram realizadas análises de cor (parâmetros L, a*, b* e variação de cor) durante esse período, sendo que a primeira amostragem foi realizada no dia da elaboração, a segunda após 15 dias e posteriormente a cada 20 dias. Teve-se como parâmetro de qualidade a variação de cor (DE). A alteração da cor das amostras foi analisada quanto à ordem da reação de degradação e calculada a velocidade de reação (k), sendo possível assim estimar o tempo de vida útil. Considerou-se a qualidade limite para aceitação do produto a alteração de 50% da variação de cor. Observou-se que a variação de cor apresentou reação de ordem zero. O valor de k nas condições de 75% de UR e 90% de UR foram respectivamente 0,4334 e 0,5365. A partir de k, se calculou a vida útil do produto, estimando-se um prazo de sete meses de validade para ambientes em condições de 25°C e 75% de UR e três meses para ambientes de maior umidade (90%). </w:t>
      </w:r>
    </w:p>
    <w:p>
      <w:pPr>
        <w:spacing w:line="360" w:lineRule="auto"/>
      </w:pPr>
      <w:r>
        <w:rPr>
          <w:rFonts w:hint="default" w:ascii="Times New Roman" w:hAnsi="Times New Roman" w:eastAsia="Times New Roman"/>
          <w:color w:val="000000"/>
          <w:sz w:val="23"/>
        </w:rPr>
        <w:t xml:space="preserve">Agradecimentos: Ao CNPq pelas bolsas concedidas. </w:t>
      </w:r>
    </w:p>
    <w:sectPr>
      <w:headerReference r:id="rId3" w:type="default"/>
      <w:pgSz w:w="11899" w:h="17340"/>
      <w:pgMar w:top="1440" w:right="1080" w:bottom="1440" w:left="108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927" w:type="dxa"/>
      <w:tblInd w:w="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  <w:tblGrid>
      <w:gridCol w:w="1615"/>
      <w:gridCol w:w="6404"/>
      <w:gridCol w:w="1908"/>
    </w:tblGrid>
    <w:tr>
      <w:tblPrEx>
        <w:tblLayout w:type="fixed"/>
        <w:tblCellMar>
          <w:left w:w="108" w:type="dxa"/>
          <w:right w:w="108" w:type="dxa"/>
        </w:tblCellMar>
      </w:tblPrEx>
      <w:trPr>
        <w:trHeight w:val="1625" w:hRule="atLeast"/>
      </w:trPr>
      <w:tc>
        <w:tcPr>
          <w:tcW w:w="1615" w:type="dxa"/>
        </w:tcPr>
        <w:p>
          <w:pPr>
            <w:pStyle w:val="2"/>
            <w:jc w:val="both"/>
            <w:rPr>
              <w:vertAlign w:val="baseline"/>
              <w:lang w:val="pt-BR"/>
            </w:rPr>
          </w:pPr>
          <w:r>
            <w:rPr>
              <w:vertAlign w:val="baseline"/>
              <w:lang w:val="pt-BR"/>
            </w:rPr>
            <w:drawing>
              <wp:inline distT="0" distB="0" distL="114300" distR="114300">
                <wp:extent cx="1014730" cy="1005205"/>
                <wp:effectExtent l="0" t="0" r="0" b="0"/>
                <wp:docPr id="2" name="Imagem 2" descr="oie_transparent- logo uf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oie_transparent- logo ufg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1005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4" w:type="dxa"/>
          <w:vAlign w:val="center"/>
        </w:tcPr>
        <w:p>
          <w:pPr>
            <w:tabs>
              <w:tab w:val="left" w:pos="10029"/>
            </w:tabs>
            <w:snapToGrid w:val="0"/>
            <w:ind w:left="-117" w:right="-65"/>
            <w:jc w:val="center"/>
            <w:rPr>
              <w:rFonts w:hint="default"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b/>
              <w:bCs/>
              <w:color w:val="auto"/>
              <w:sz w:val="28"/>
              <w:szCs w:val="28"/>
              <w:lang w:val="pt-BR"/>
            </w:rPr>
            <w:t xml:space="preserve">VIII </w:t>
          </w:r>
          <w:r>
            <w:rPr>
              <w:rFonts w:hint="default" w:ascii="Times New Roman" w:hAnsi="Times New Roman" w:cs="Times New Roman"/>
              <w:b/>
              <w:bCs/>
              <w:color w:val="auto"/>
              <w:sz w:val="28"/>
              <w:szCs w:val="28"/>
            </w:rPr>
            <w:t>SEMANA ACADÊMICA DE</w:t>
          </w:r>
        </w:p>
        <w:p>
          <w:pPr>
            <w:tabs>
              <w:tab w:val="left" w:pos="10029"/>
            </w:tabs>
            <w:snapToGrid w:val="0"/>
            <w:ind w:left="-117" w:right="-65"/>
            <w:jc w:val="center"/>
            <w:rPr>
              <w:rFonts w:hint="default" w:ascii="Times New Roman" w:hAnsi="Times New Roman" w:cs="Times New Roman"/>
              <w:bCs/>
              <w:color w:val="auto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b/>
              <w:bCs/>
              <w:color w:val="auto"/>
              <w:sz w:val="28"/>
              <w:szCs w:val="28"/>
            </w:rPr>
            <w:t>ENGENHARIA DE ALIMENTOS</w:t>
          </w:r>
        </w:p>
        <w:p>
          <w:pPr>
            <w:tabs>
              <w:tab w:val="left" w:pos="10029"/>
            </w:tabs>
            <w:snapToGrid w:val="0"/>
            <w:ind w:left="-117" w:right="-65"/>
            <w:jc w:val="center"/>
            <w:rPr>
              <w:rFonts w:hint="default"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b/>
              <w:bCs/>
              <w:color w:val="auto"/>
              <w:sz w:val="28"/>
              <w:szCs w:val="28"/>
            </w:rPr>
            <w:t>6 a</w:t>
          </w:r>
          <w:r>
            <w:rPr>
              <w:rFonts w:hint="default" w:ascii="Times New Roman" w:hAnsi="Times New Roman" w:cs="Times New Roman"/>
              <w:b/>
              <w:bCs/>
              <w:color w:val="auto"/>
              <w:sz w:val="28"/>
              <w:szCs w:val="28"/>
              <w:lang w:val="pt-BR"/>
            </w:rPr>
            <w:t xml:space="preserve"> </w:t>
          </w:r>
          <w:r>
            <w:rPr>
              <w:rFonts w:hint="default" w:ascii="Times New Roman" w:hAnsi="Times New Roman" w:cs="Times New Roman"/>
              <w:b/>
              <w:bCs/>
              <w:color w:val="auto"/>
              <w:sz w:val="28"/>
              <w:szCs w:val="28"/>
            </w:rPr>
            <w:t>8 de Junho de 2018</w:t>
          </w:r>
        </w:p>
        <w:p>
          <w:pPr>
            <w:tabs>
              <w:tab w:val="left" w:pos="10029"/>
            </w:tabs>
            <w:snapToGrid w:val="0"/>
            <w:ind w:left="-117" w:right="-65"/>
            <w:jc w:val="center"/>
            <w:rPr>
              <w:rFonts w:hint="default" w:ascii="Times New Roman" w:hAnsi="Times New Roman" w:cs="Times New Roman"/>
              <w:b/>
              <w:bCs/>
              <w:color w:val="auto"/>
              <w:sz w:val="28"/>
              <w:szCs w:val="28"/>
            </w:rPr>
          </w:pPr>
        </w:p>
        <w:p>
          <w:pPr>
            <w:pStyle w:val="2"/>
            <w:jc w:val="center"/>
            <w:rPr>
              <w:vertAlign w:val="baseline"/>
              <w:lang w:val="pt-BR"/>
            </w:rPr>
          </w:pPr>
          <w:r>
            <w:rPr>
              <w:rFonts w:hint="default" w:ascii="Times New Roman" w:hAnsi="Times New Roman" w:cs="Times New Roman"/>
              <w:b/>
              <w:color w:val="auto"/>
              <w:sz w:val="22"/>
              <w:szCs w:val="22"/>
              <w:shd w:val="clear" w:color="auto" w:fill="FFFFFF"/>
            </w:rPr>
            <w:t>“</w:t>
          </w:r>
          <w:r>
            <w:rPr>
              <w:rStyle w:val="8"/>
              <w:rFonts w:hint="default" w:ascii="Times New Roman" w:hAnsi="Times New Roman" w:cs="Times New Roman"/>
              <w:color w:val="auto"/>
              <w:sz w:val="22"/>
              <w:szCs w:val="22"/>
            </w:rPr>
            <w:t>EMPREENDEDORISMO PARA A INDÚSTRIA DE ALIMENTOS: Cultivando Ideias e Transformando em Negócios.”</w:t>
          </w:r>
        </w:p>
      </w:tc>
      <w:tc>
        <w:tcPr>
          <w:tcW w:w="1908" w:type="dxa"/>
        </w:tcPr>
        <w:p>
          <w:pPr>
            <w:pStyle w:val="2"/>
            <w:rPr>
              <w:vertAlign w:val="baseline"/>
              <w:lang w:val="pt-BR"/>
            </w:rPr>
          </w:pPr>
        </w:p>
        <w:p>
          <w:pPr>
            <w:pStyle w:val="2"/>
            <w:rPr>
              <w:vertAlign w:val="baseline"/>
              <w:lang w:val="pt-BR"/>
            </w:rPr>
          </w:pPr>
          <w:r>
            <w:rPr>
              <w:vertAlign w:val="baseline"/>
              <w:lang w:val="pt-BR"/>
            </w:rPr>
            <w:drawing>
              <wp:inline distT="0" distB="0" distL="114300" distR="114300">
                <wp:extent cx="1253490" cy="827405"/>
                <wp:effectExtent l="0" t="0" r="3810" b="10795"/>
                <wp:docPr id="1" name="Imagem 1" descr="oie_transparent-LOGO SE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oie_transparent-LOGO SEALI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349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2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9954CB"/>
    <w:rsid w:val="1B6A229B"/>
    <w:rsid w:val="2A3C3884"/>
    <w:rsid w:val="2D786731"/>
    <w:rsid w:val="45355E67"/>
    <w:rsid w:val="475A79CC"/>
    <w:rsid w:val="59E1448B"/>
    <w:rsid w:val="5B2E0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3">
    <w:name w:val="footer"/>
    <w:basedOn w:val="1"/>
    <w:uiPriority w:val="0"/>
    <w:pPr>
      <w:tabs>
        <w:tab w:val="center" w:pos="4252"/>
        <w:tab w:val="right" w:pos="8504"/>
      </w:tabs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theme="minorBidi"/>
      <w:color w:val="000000"/>
      <w:sz w:val="24"/>
    </w:rPr>
  </w:style>
  <w:style w:type="character" w:customStyle="1" w:styleId="8">
    <w:name w:val="docssharedwiztogglelabeledlabel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1981</Characters>
  <Lines>0</Lines>
  <Paragraphs>0</Paragraphs>
  <ScaleCrop>false</ScaleCrop>
  <LinksUpToDate>false</LinksUpToDate>
  <CharactersWithSpaces>2349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2018-04-19T03:22:00Z</dcterms:created>
  <dc:creator>Isabela</dc:creator>
  <cp:lastModifiedBy>Isabela</cp:lastModifiedBy>
  <dcterms:modified xsi:type="dcterms:W3CDTF">2018-05-24T01:09:25Z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